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w:t>
      </w:r>
      <w:proofErr w:type="gramEnd"/>
      <w:r w:rsidR="00D36E07" w:rsidRPr="00D36E07">
        <w:rPr>
          <w:rFonts w:ascii="PT Astra Serif" w:hAnsi="PT Astra Serif"/>
          <w:color w:val="000000"/>
          <w:sz w:val="24"/>
          <w:szCs w:val="24"/>
          <w:lang w:val="ru-RU"/>
        </w:rPr>
        <w:t xml:space="preserve">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8B6B8E" w:rsidRDefault="008B6B8E" w:rsidP="00A16385">
      <w:pPr>
        <w:spacing w:before="0" w:beforeAutospacing="0" w:after="0" w:afterAutospacing="0"/>
        <w:ind w:firstLine="567"/>
        <w:jc w:val="both"/>
        <w:rPr>
          <w:rFonts w:ascii="PT Astra Serif" w:hAnsi="PT Astra Serif"/>
          <w:color w:val="000000"/>
          <w:sz w:val="24"/>
          <w:szCs w:val="24"/>
          <w:lang w:val="ru-RU"/>
        </w:rPr>
      </w:pP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roofErr w:type="gramEnd"/>
    </w:p>
    <w:p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A56AA8">
        <w:rPr>
          <w:rFonts w:ascii="PT Astra Serif" w:hAnsi="PT Astra Serif"/>
          <w:b/>
          <w:color w:val="0000FF"/>
          <w:sz w:val="24"/>
          <w:szCs w:val="24"/>
          <w:lang w:val="ru-RU"/>
        </w:rPr>
        <w:t>не</w:t>
      </w:r>
      <w:r w:rsidR="00D7650C" w:rsidRPr="00A56AA8">
        <w:rPr>
          <w:rFonts w:ascii="PT Astra Serif" w:hAnsi="PT Astra Serif"/>
          <w:color w:val="0000FF"/>
          <w:sz w:val="24"/>
          <w:szCs w:val="24"/>
          <w:lang w:val="ru-RU"/>
        </w:rPr>
        <w:t xml:space="preserve"> </w:t>
      </w:r>
      <w:r w:rsidR="00220EC3" w:rsidRPr="00A56AA8">
        <w:rPr>
          <w:rFonts w:ascii="PT Astra Serif" w:hAnsi="PT Astra Serif"/>
          <w:b/>
          <w:color w:val="0000FF"/>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w:t>
      </w:r>
      <w:r w:rsidRPr="00396D62">
        <w:rPr>
          <w:rFonts w:eastAsia="Calibri"/>
          <w:sz w:val="24"/>
          <w:lang w:val="ru-RU"/>
        </w:rPr>
        <w:lastRenderedPageBreak/>
        <w:t xml:space="preserve">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both"/>
        <w:rPr>
          <w:rFonts w:eastAsia="Calibri"/>
          <w:sz w:val="24"/>
          <w:szCs w:val="24"/>
          <w:lang w:val="ru-RU"/>
        </w:rPr>
      </w:pPr>
    </w:p>
    <w:p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rsidR="00396D62" w:rsidRPr="00396D62" w:rsidRDefault="00396D62" w:rsidP="00396D62">
      <w:pPr>
        <w:spacing w:before="0" w:beforeAutospacing="0" w:after="0" w:afterAutospacing="0"/>
        <w:ind w:firstLine="709"/>
        <w:jc w:val="both"/>
        <w:rPr>
          <w:rFonts w:eastAsia="Calibri"/>
          <w:sz w:val="24"/>
          <w:szCs w:val="24"/>
          <w:lang w:val="ru-RU"/>
        </w:rPr>
      </w:pPr>
    </w:p>
    <w:p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195B05" w15:done="0"/>
  <w15:commentEx w15:paraId="75C5C7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B4" w:rsidRDefault="00F622B4" w:rsidP="006F0750">
      <w:pPr>
        <w:spacing w:before="0" w:after="0"/>
      </w:pPr>
      <w:r>
        <w:separator/>
      </w:r>
    </w:p>
  </w:endnote>
  <w:endnote w:type="continuationSeparator" w:id="0">
    <w:p w:rsidR="00F622B4" w:rsidRDefault="00F622B4"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Content>
      <w:p w:rsidR="00F622B4" w:rsidRDefault="00F622B4">
        <w:pPr>
          <w:pStyle w:val="ad"/>
          <w:jc w:val="center"/>
        </w:pPr>
        <w:r>
          <w:fldChar w:fldCharType="begin"/>
        </w:r>
        <w:r>
          <w:instrText>PAGE   \* MERGEFORMAT</w:instrText>
        </w:r>
        <w:r>
          <w:fldChar w:fldCharType="separate"/>
        </w:r>
        <w:r w:rsidR="008B6B8E" w:rsidRPr="008B6B8E">
          <w:rPr>
            <w:noProof/>
            <w:lang w:val="ru-RU"/>
          </w:rPr>
          <w:t>5</w:t>
        </w:r>
        <w:r>
          <w:fldChar w:fldCharType="end"/>
        </w:r>
      </w:p>
    </w:sdtContent>
  </w:sdt>
  <w:p w:rsidR="00F622B4" w:rsidRDefault="00F622B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B4" w:rsidRDefault="00F622B4" w:rsidP="006F0750">
      <w:pPr>
        <w:spacing w:before="0" w:after="0"/>
      </w:pPr>
      <w:r>
        <w:separator/>
      </w:r>
    </w:p>
  </w:footnote>
  <w:footnote w:type="continuationSeparator" w:id="0">
    <w:p w:rsidR="00F622B4" w:rsidRDefault="00F622B4"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063C96"/>
    <w:rsid w:val="000F22C3"/>
    <w:rsid w:val="00150515"/>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8272A"/>
    <w:rsid w:val="00586EDC"/>
    <w:rsid w:val="005A05CE"/>
    <w:rsid w:val="00607DE2"/>
    <w:rsid w:val="00617F1A"/>
    <w:rsid w:val="0064289D"/>
    <w:rsid w:val="00653AF6"/>
    <w:rsid w:val="00690615"/>
    <w:rsid w:val="006D0956"/>
    <w:rsid w:val="006F0750"/>
    <w:rsid w:val="00766214"/>
    <w:rsid w:val="00791599"/>
    <w:rsid w:val="007B7B42"/>
    <w:rsid w:val="007D330B"/>
    <w:rsid w:val="00807BCD"/>
    <w:rsid w:val="00815405"/>
    <w:rsid w:val="00846EDD"/>
    <w:rsid w:val="00877607"/>
    <w:rsid w:val="008B6B8E"/>
    <w:rsid w:val="008D28E9"/>
    <w:rsid w:val="008D4D55"/>
    <w:rsid w:val="009271BE"/>
    <w:rsid w:val="009477F7"/>
    <w:rsid w:val="009D246C"/>
    <w:rsid w:val="00A04AA7"/>
    <w:rsid w:val="00A16385"/>
    <w:rsid w:val="00A56AA8"/>
    <w:rsid w:val="00A8378F"/>
    <w:rsid w:val="00AC7764"/>
    <w:rsid w:val="00AF376C"/>
    <w:rsid w:val="00B504FC"/>
    <w:rsid w:val="00B52F91"/>
    <w:rsid w:val="00B73A5A"/>
    <w:rsid w:val="00B81B48"/>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622B4"/>
    <w:rsid w:val="00F64BAC"/>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Пользователь</cp:lastModifiedBy>
  <cp:revision>3</cp:revision>
  <cp:lastPrinted>2024-03-11T04:49:00Z</cp:lastPrinted>
  <dcterms:created xsi:type="dcterms:W3CDTF">2024-02-19T05:54:00Z</dcterms:created>
  <dcterms:modified xsi:type="dcterms:W3CDTF">2024-03-11T04:52:00Z</dcterms:modified>
</cp:coreProperties>
</file>